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B7F" w:rsidRPr="00097B7F" w:rsidRDefault="00097B7F" w:rsidP="00097B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FF0000"/>
          <w:sz w:val="28"/>
          <w:szCs w:val="28"/>
          <w:lang w:eastAsia="ru-RU"/>
        </w:rPr>
      </w:pPr>
      <w:r w:rsidRPr="00097B7F">
        <w:rPr>
          <w:rFonts w:ascii="Tahoma" w:eastAsia="Times New Roman" w:hAnsi="Tahoma" w:cs="Tahoma"/>
          <w:b/>
          <w:color w:val="FF0000"/>
          <w:sz w:val="28"/>
          <w:szCs w:val="28"/>
          <w:lang w:eastAsia="ru-RU"/>
        </w:rPr>
        <w:t>Шпаргалка по отчету по закупкам у СМП и СОНО</w:t>
      </w:r>
    </w:p>
    <w:p w:rsidR="00097B7F" w:rsidRPr="00141C2E" w:rsidRDefault="00097B7F" w:rsidP="00141C2E">
      <w:pPr>
        <w:pStyle w:val="a8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В процессе заполнения рекомендуется ознакомиться также с "Правилами подготовки отчета об объеме закупок у субъектов малого предпринимательства и социально ориентированных некоммерческих организаций, его размещения в единой информационной системе", утвержденными</w:t>
      </w:r>
      <w:r w:rsidRPr="00141C2E">
        <w:rPr>
          <w:rFonts w:ascii="Tahoma" w:eastAsia="Times New Roman" w:hAnsi="Tahoma" w:cs="Tahoma"/>
          <w:color w:val="000000"/>
          <w:sz w:val="19"/>
          <w:lang w:eastAsia="ru-RU"/>
        </w:rPr>
        <w:t> </w:t>
      </w:r>
      <w:hyperlink r:id="rId6" w:tgtFrame="_blank" w:history="1">
        <w:r w:rsidRPr="00141C2E">
          <w:rPr>
            <w:rFonts w:ascii="Tahoma" w:eastAsia="Times New Roman" w:hAnsi="Tahoma" w:cs="Tahoma"/>
            <w:color w:val="4D6D91"/>
            <w:sz w:val="19"/>
            <w:u w:val="single"/>
            <w:lang w:eastAsia="ru-RU"/>
          </w:rPr>
          <w:t>постановлением Правительства от 17.03.2015 № 238</w:t>
        </w:r>
      </w:hyperlink>
      <w:r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. К Правилам прилагаются еще и Требования по заполнению разделов, которые содержат полезный комментарий.</w:t>
      </w:r>
    </w:p>
    <w:p w:rsidR="00097B7F" w:rsidRPr="00141C2E" w:rsidRDefault="00093E27" w:rsidP="00141C2E">
      <w:pPr>
        <w:pStyle w:val="a8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Общее правило - заполнение всех числовых значений  в позициях (за исключением %) осуществляется в</w:t>
      </w:r>
      <w:r w:rsidR="00097B7F" w:rsidRPr="00141C2E">
        <w:rPr>
          <w:rFonts w:ascii="Tahoma" w:eastAsia="Times New Roman" w:hAnsi="Tahoma" w:cs="Tahoma"/>
          <w:color w:val="000000"/>
          <w:sz w:val="19"/>
          <w:lang w:eastAsia="ru-RU"/>
        </w:rPr>
        <w:t> </w:t>
      </w:r>
      <w:r w:rsidR="00097B7F" w:rsidRPr="00141C2E">
        <w:rPr>
          <w:rFonts w:ascii="Tahoma" w:eastAsia="Times New Roman" w:hAnsi="Tahoma" w:cs="Tahoma"/>
          <w:b/>
          <w:bCs/>
          <w:color w:val="000000"/>
          <w:sz w:val="19"/>
          <w:lang w:eastAsia="ru-RU"/>
        </w:rPr>
        <w:t>тысячах </w:t>
      </w:r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рублей. На это указывает экранная форма ЕИС. Поэтому, сумма с копейками 9 238 457 руб. 85 коп</w:t>
      </w:r>
      <w:proofErr w:type="gramStart"/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.</w:t>
      </w:r>
      <w:proofErr w:type="gramEnd"/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</w:t>
      </w:r>
      <w:proofErr w:type="gramStart"/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б</w:t>
      </w:r>
      <w:proofErr w:type="gramEnd"/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удет выглядеть в таблице как 9 238,45785 руб.</w:t>
      </w:r>
    </w:p>
    <w:p w:rsidR="00097B7F" w:rsidRPr="00141C2E" w:rsidRDefault="00093E27" w:rsidP="00141C2E">
      <w:pPr>
        <w:pStyle w:val="a8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lang w:eastAsia="ru-RU"/>
        </w:rPr>
        <w:pict>
          <v:shape id="_x0000_i1026" type="#_x0000_t75" alt="" style="width:24pt;height:24pt"/>
        </w:pict>
      </w:r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При заполнении экранной формы отчета в ЕИС, система предложит прикрепить</w:t>
      </w:r>
      <w:r w:rsidR="00097B7F" w:rsidRPr="00141C2E">
        <w:rPr>
          <w:rFonts w:ascii="Tahoma" w:eastAsia="Times New Roman" w:hAnsi="Tahoma" w:cs="Tahoma"/>
          <w:color w:val="000000"/>
          <w:sz w:val="19"/>
          <w:lang w:eastAsia="ru-RU"/>
        </w:rPr>
        <w:t> </w:t>
      </w:r>
      <w:r w:rsidR="00097B7F" w:rsidRPr="00141C2E">
        <w:rPr>
          <w:rFonts w:ascii="Tahoma" w:eastAsia="Times New Roman" w:hAnsi="Tahoma" w:cs="Tahoma"/>
          <w:b/>
          <w:bCs/>
          <w:color w:val="000000"/>
          <w:sz w:val="19"/>
          <w:lang w:eastAsia="ru-RU"/>
        </w:rPr>
        <w:t>отдельный файл</w:t>
      </w:r>
      <w:r w:rsidR="00097B7F" w:rsidRPr="00141C2E">
        <w:rPr>
          <w:rFonts w:ascii="Tahoma" w:eastAsia="Times New Roman" w:hAnsi="Tahoma" w:cs="Tahoma"/>
          <w:color w:val="000000"/>
          <w:sz w:val="19"/>
          <w:lang w:eastAsia="ru-RU"/>
        </w:rPr>
        <w:t> </w:t>
      </w:r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отчета (</w:t>
      </w:r>
      <w:proofErr w:type="spellStart"/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Скриншот</w:t>
      </w:r>
      <w:proofErr w:type="spellEnd"/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3). Без этого результаты контроля будут </w:t>
      </w:r>
      <w:proofErr w:type="gramStart"/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отрицательными</w:t>
      </w:r>
      <w:proofErr w:type="gramEnd"/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и закончить заполнение экранной формы не удастся. </w:t>
      </w:r>
      <w:proofErr w:type="spellStart"/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Скриншоты</w:t>
      </w:r>
      <w:proofErr w:type="spellEnd"/>
      <w:r w:rsidR="00097B7F"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даны ниже.</w:t>
      </w:r>
    </w:p>
    <w:p w:rsidR="00097B7F" w:rsidRPr="00097B7F" w:rsidRDefault="00097B7F" w:rsidP="00097B7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Наибольшую трудность представляет Раздел 2 отчета.</w:t>
      </w:r>
    </w:p>
    <w:tbl>
      <w:tblPr>
        <w:tblW w:w="11333" w:type="dxa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311"/>
        <w:gridCol w:w="2374"/>
        <w:gridCol w:w="7648"/>
      </w:tblGrid>
      <w:tr w:rsidR="00097B7F" w:rsidRPr="00097B7F" w:rsidTr="00097B7F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b/>
                <w:bCs/>
                <w:color w:val="000000"/>
                <w:sz w:val="19"/>
                <w:lang w:eastAsia="ru-RU"/>
              </w:rPr>
              <w:t>Позиция раздела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b/>
                <w:bCs/>
                <w:color w:val="000000"/>
                <w:sz w:val="19"/>
                <w:lang w:eastAsia="ru-RU"/>
              </w:rPr>
              <w:t>Задача при заполнении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b/>
                <w:bCs/>
                <w:color w:val="000000"/>
                <w:sz w:val="19"/>
                <w:lang w:eastAsia="ru-RU"/>
              </w:rPr>
              <w:t>Комментарий</w:t>
            </w:r>
          </w:p>
        </w:tc>
      </w:tr>
      <w:tr w:rsidR="00097B7F" w:rsidRPr="00097B7F" w:rsidTr="00097B7F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 </w:t>
            </w:r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Позиция 1 </w:t>
            </w:r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 </w:t>
            </w:r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Правильно определить совокупный годовой объем закупок (СГОЗ)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СГОЗ для </w:t>
            </w:r>
            <w:proofErr w:type="spellStart"/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для</w:t>
            </w:r>
            <w:proofErr w:type="spellEnd"/>
            <w:proofErr w:type="gram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отчета по закупкам у СМП и СОНО не равен СГОЗ и другим финансовым показателям, использованным, например, при планировании и в другой отчетности. Но в этой позиции определяется общий СГОЗ, который дальше будет скорректирован для целей отчета по СМП. В него входят:</w:t>
            </w:r>
          </w:p>
          <w:p w:rsidR="00097B7F" w:rsidRPr="00097B7F" w:rsidRDefault="00097B7F" w:rsidP="00097B7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Сумма контрактов предыдущих годов, оплаченных в 2017 году</w:t>
            </w:r>
          </w:p>
          <w:p w:rsidR="00097B7F" w:rsidRPr="00097B7F" w:rsidRDefault="00097B7F" w:rsidP="00097B7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Сумма контрактов, заключенных и оплаченных в 2017 году</w:t>
            </w:r>
          </w:p>
          <w:p w:rsidR="00097B7F" w:rsidRPr="00097B7F" w:rsidRDefault="00097B7F" w:rsidP="00097B7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Суммы частичной оплаты по контрактам 2017 года, часть оплаты по которым перенесена на следующие годы.</w:t>
            </w:r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В том числе, в этой позиции отражаются и фактические оплаты кредиторской задолженности за прошлые годы, например 2016 год. </w:t>
            </w:r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Согласно </w:t>
            </w:r>
            <w:hyperlink r:id="rId7" w:tgtFrame="_blank" w:history="1">
              <w:r w:rsidRPr="00097B7F">
                <w:rPr>
                  <w:rFonts w:ascii="Tahoma" w:eastAsia="Times New Roman" w:hAnsi="Tahoma" w:cs="Tahoma"/>
                  <w:color w:val="4D6D91"/>
                  <w:sz w:val="19"/>
                  <w:u w:val="single"/>
                  <w:lang w:eastAsia="ru-RU"/>
                </w:rPr>
                <w:t>письма</w:t>
              </w:r>
              <w:proofErr w:type="gramEnd"/>
              <w:r w:rsidRPr="00097B7F">
                <w:rPr>
                  <w:rFonts w:ascii="Tahoma" w:eastAsia="Times New Roman" w:hAnsi="Tahoma" w:cs="Tahoma"/>
                  <w:color w:val="4D6D91"/>
                  <w:sz w:val="19"/>
                  <w:u w:val="single"/>
                  <w:lang w:eastAsia="ru-RU"/>
                </w:rPr>
                <w:t xml:space="preserve"> Минэкономразвития №Д28-И/1632 от 21.04.2017 </w:t>
              </w:r>
            </w:hyperlink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 указывается доведенный до заказчика объем финансового обеспечения, предназначенного для осуществления им оплаты по контрактам в соответствующем финансовом (отчетном) году, за исключением объема закупок, сведения о которых составляют государственную тайну.</w:t>
            </w:r>
          </w:p>
        </w:tc>
      </w:tr>
      <w:tr w:rsidR="00097B7F" w:rsidRPr="00097B7F" w:rsidTr="00097B7F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 </w:t>
            </w:r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Позиция 2</w:t>
            </w:r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 </w:t>
            </w:r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Корректно заполнить значения, на которые будет </w:t>
            </w:r>
            <w:proofErr w:type="spell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ументшен</w:t>
            </w:r>
            <w:proofErr w:type="spell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В этой позиции указывается сумма контрактов, которые не включаются в расчет СГОЗ согласно части 1.1 статьи 30 Закона № 44-ФЗ</w:t>
            </w: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.</w:t>
            </w:r>
            <w:proofErr w:type="gram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Рассчитайте первую графу Позиции 2 как общую сумму значений граф 2-5 Позиции 2. </w:t>
            </w:r>
          </w:p>
          <w:p w:rsidR="00097B7F" w:rsidRPr="00097B7F" w:rsidRDefault="00097B7F" w:rsidP="00097B7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Объем закупок на оборону, атомная </w:t>
            </w:r>
            <w:proofErr w:type="spell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энергия</w:t>
            </w: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,у</w:t>
            </w:r>
            <w:proofErr w:type="gram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слуги</w:t>
            </w:r>
            <w:proofErr w:type="spell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по кредитам - будут скорее всего нули.</w:t>
            </w:r>
          </w:p>
          <w:p w:rsidR="00097B7F" w:rsidRPr="00097B7F" w:rsidRDefault="00097B7F" w:rsidP="00097B7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 единственному поставщику - заполняется по фактически уплаченным суммам.</w:t>
            </w:r>
          </w:p>
          <w:p w:rsidR="00097B7F" w:rsidRPr="00097B7F" w:rsidRDefault="00097B7F" w:rsidP="00097B7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 закрытым способам - аналогично.</w:t>
            </w:r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 пункту 2</w:t>
            </w: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З</w:t>
            </w:r>
            <w:proofErr w:type="gram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десь нужно обратить внимание, что сейчас в этой позиции считаются в том числе закупки у единственного поставщика по итогам несостоявшихся процедур. Изменения в 44-ФЗ об исключении этих закупок из данного раздела (и таким образом, включении в расчет суммы СГОЗ для СМП, вступят с 01.01.2019). Подробнее</w:t>
            </w:r>
            <w:r w:rsidRPr="00097B7F">
              <w:rPr>
                <w:rFonts w:ascii="Tahoma" w:eastAsia="Times New Roman" w:hAnsi="Tahoma" w:cs="Tahoma"/>
                <w:color w:val="000000"/>
                <w:sz w:val="19"/>
                <w:lang w:eastAsia="ru-RU"/>
              </w:rPr>
              <w:t> </w:t>
            </w:r>
            <w:hyperlink r:id="rId8" w:tgtFrame="_blank" w:history="1">
              <w:r w:rsidRPr="00097B7F">
                <w:rPr>
                  <w:rFonts w:ascii="Tahoma" w:eastAsia="Times New Roman" w:hAnsi="Tahoma" w:cs="Tahoma"/>
                  <w:color w:val="4D6D91"/>
                  <w:sz w:val="19"/>
                  <w:u w:val="single"/>
                  <w:lang w:eastAsia="ru-RU"/>
                </w:rPr>
                <w:t>письмо Минэкономразвития от 21.02.2017 №ОГ-Д28-1806.</w:t>
              </w:r>
            </w:hyperlink>
          </w:p>
          <w:p w:rsidR="00097B7F" w:rsidRPr="00097B7F" w:rsidRDefault="00097B7F" w:rsidP="00F2658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 Если закупки были только у </w:t>
            </w:r>
            <w:proofErr w:type="spell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едпоставщика</w:t>
            </w:r>
            <w:proofErr w:type="spell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, это не </w:t>
            </w: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значит что другие позиции заполнять не требуется</w:t>
            </w:r>
            <w:proofErr w:type="gram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. Поставьте ноль в соответствующих показателях и </w:t>
            </w: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разместите отчет</w:t>
            </w:r>
            <w:proofErr w:type="gram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в ЕИС. Такой подход подтверждает</w:t>
            </w:r>
            <w:r w:rsidRPr="00097B7F">
              <w:rPr>
                <w:rFonts w:ascii="Tahoma" w:eastAsia="Times New Roman" w:hAnsi="Tahoma" w:cs="Tahoma"/>
                <w:color w:val="000000"/>
                <w:sz w:val="19"/>
                <w:lang w:eastAsia="ru-RU"/>
              </w:rPr>
              <w:t> </w:t>
            </w:r>
            <w:hyperlink r:id="rId9" w:tgtFrame="_blank" w:history="1">
              <w:r w:rsidRPr="00097B7F">
                <w:rPr>
                  <w:rFonts w:ascii="Tahoma" w:eastAsia="Times New Roman" w:hAnsi="Tahoma" w:cs="Tahoma"/>
                  <w:color w:val="4D6D91"/>
                  <w:sz w:val="19"/>
                  <w:u w:val="single"/>
                  <w:lang w:eastAsia="ru-RU"/>
                </w:rPr>
                <w:t>письмо Минфина от 08.11.2017 № 24-01-10/73595</w:t>
              </w:r>
            </w:hyperlink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.</w:t>
            </w:r>
          </w:p>
        </w:tc>
      </w:tr>
      <w:tr w:rsidR="00097B7F" w:rsidRPr="00097B7F" w:rsidTr="00097B7F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Позиция 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Определить СГОЗ для целей закупок у СМП и СОНО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СГОЗ </w:t>
            </w:r>
            <w:proofErr w:type="spell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смп</w:t>
            </w:r>
            <w:proofErr w:type="spell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= СГОЗ (Позиция 1) - сумма, не входящая расчет СГОЗ (Позиция 2)</w:t>
            </w:r>
          </w:p>
        </w:tc>
      </w:tr>
      <w:tr w:rsidR="00097B7F" w:rsidRPr="00097B7F" w:rsidTr="00097B7F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lastRenderedPageBreak/>
              <w:t>Позиция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Определить минимально возможный объем закупки у СМП и СОНО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Позиция 4 = Позиция 3 * 15%. На этом моменте заканчивается определение целевого объема закупки у СМП и СОНО.</w:t>
            </w:r>
          </w:p>
        </w:tc>
      </w:tr>
      <w:tr w:rsidR="00097B7F" w:rsidRPr="00097B7F" w:rsidTr="00097B7F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Позиция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Рассчитать фактический объем закупок у СМП и СОНО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Сумма сре</w:t>
            </w: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дств дл</w:t>
            </w:r>
            <w:proofErr w:type="gram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я оплаты контрактов в 2017 году по результатам уже состоявшихся процедур, состав участников которых входили только СМП и СОНО.</w:t>
            </w:r>
          </w:p>
        </w:tc>
      </w:tr>
      <w:tr w:rsidR="00097B7F" w:rsidRPr="00097B7F" w:rsidTr="00097B7F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Позиция 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Рассчитать фактический объем закупок у СМП м СОНО через субподряд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Вносятся данные по контрактам, в которых победитель был обязан привлечь СМП и СОНО  на субподряд. Дополнительная информация из текста Требований к заполнению формы отчета, утвержденных Постановлением №238: </w:t>
            </w:r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в этой позиции учитываются только объемы фактического привлечения в отчетном году к исполнению контрактов субподрядчиков (соисполнителей) из числа СМП и </w:t>
            </w: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СОНО</w:t>
            </w:r>
            <w:proofErr w:type="gram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 но не более объема, установленного условиями контракта в виде процента цены контракта. </w:t>
            </w: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В случае если поставщик (подрядчик, исполнитель), с которым заключен контракт в соответствии с частью 5 статьи 30 44-ФЗ (т.е. который должен был привлечь субподрядчика из числа СМП или СОНО), сам является СМП или СОНО, то в этой позиции учитывается объем, установленный условиями контракта для субподряда в виде процента цены контракта.</w:t>
            </w:r>
            <w:proofErr w:type="gramEnd"/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Подробнее данная ситуация рассмотрена в</w:t>
            </w:r>
            <w:r w:rsidRPr="00097B7F">
              <w:rPr>
                <w:rFonts w:ascii="Tahoma" w:eastAsia="Times New Roman" w:hAnsi="Tahoma" w:cs="Tahoma"/>
                <w:color w:val="000000"/>
                <w:sz w:val="19"/>
                <w:lang w:eastAsia="ru-RU"/>
              </w:rPr>
              <w:t> </w:t>
            </w:r>
            <w:hyperlink r:id="rId10" w:tgtFrame="_blank" w:history="1">
              <w:r w:rsidRPr="00097B7F">
                <w:rPr>
                  <w:rFonts w:ascii="Tahoma" w:eastAsia="Times New Roman" w:hAnsi="Tahoma" w:cs="Tahoma"/>
                  <w:color w:val="4D6D91"/>
                  <w:sz w:val="19"/>
                  <w:u w:val="single"/>
                  <w:lang w:eastAsia="ru-RU"/>
                </w:rPr>
                <w:t>письме Минэкономразвития от 10 апреля 2017 г. N Д28и-1556</w:t>
              </w:r>
            </w:hyperlink>
          </w:p>
        </w:tc>
      </w:tr>
      <w:tr w:rsidR="00097B7F" w:rsidRPr="00097B7F" w:rsidTr="00097B7F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Позиция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Рассчитать фактический общий объем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Позиция 5 + Позиция 6</w:t>
            </w:r>
          </w:p>
        </w:tc>
      </w:tr>
      <w:tr w:rsidR="00097B7F" w:rsidRPr="00097B7F" w:rsidTr="00097B7F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Позиция 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Рассчитать фактический процент, т.е. результат для сверки с 15%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Указывается доля закупок, которые заказчик осуществил у СМП и СОНО, рассчитанная как процентная доля объема закупок, указанного в Позиции 7, по отношению к СГОЗ, рассчитанному с учетом части 1.1 статьи 30 44-ФЗ и указанному в Позиции 3</w:t>
            </w: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:</w:t>
            </w:r>
            <w:proofErr w:type="gramEnd"/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Позиция 7 / Позиция 3 = результат, он получится </w:t>
            </w: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в</w:t>
            </w:r>
            <w:proofErr w:type="gram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%</w:t>
            </w:r>
          </w:p>
        </w:tc>
      </w:tr>
      <w:tr w:rsidR="00097B7F" w:rsidRPr="00097B7F" w:rsidTr="00097B7F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Позиция 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Справочная информация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Данная позиция не участвует в расчете. Указывается общая сумма начальных (максимальных) цен контрактов несостоявшихся процедур закупок (открытых конкурсов, конкурсов с ограниченным участием, двухэтапных конкурсов, повторных конкурсов, аукционов в электронной форме, запросов котировок, запросов предложений), в которых было установлено ограничение в отношении участников закупок, которыми могли быть только СМП и СОНО и по </w:t>
            </w:r>
            <w:proofErr w:type="gramStart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результатам</w:t>
            </w:r>
            <w:proofErr w:type="gramEnd"/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проведения которых контракт не заключен либо заключен по основаниям, предусмотренным пунктом 25 части 1 статьи 93 44-ФЗ (несостоявшиеся процедуры).</w:t>
            </w:r>
          </w:p>
          <w:p w:rsidR="00097B7F" w:rsidRPr="00097B7F" w:rsidRDefault="00097B7F" w:rsidP="00097B7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Это единственная графа в отчете, где используются НМЦ, а не фактические цены контрактов!</w:t>
            </w:r>
          </w:p>
        </w:tc>
      </w:tr>
      <w:tr w:rsidR="00097B7F" w:rsidRPr="00097B7F" w:rsidTr="00097B7F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3" w:type="dxa"/>
              <w:left w:w="133" w:type="dxa"/>
              <w:bottom w:w="133" w:type="dxa"/>
              <w:right w:w="133" w:type="dxa"/>
            </w:tcMar>
            <w:hideMark/>
          </w:tcPr>
          <w:p w:rsidR="00097B7F" w:rsidRPr="00097B7F" w:rsidRDefault="00097B7F" w:rsidP="00097B7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097B7F">
              <w:rPr>
                <w:rFonts w:ascii="Tahoma" w:eastAsia="Times New Roman" w:hAnsi="Tahoma" w:cs="Tahoma"/>
                <w:b/>
                <w:bCs/>
                <w:color w:val="000000"/>
                <w:sz w:val="19"/>
                <w:lang w:eastAsia="ru-RU"/>
              </w:rPr>
              <w:t>Дополнительно: </w:t>
            </w:r>
            <w:hyperlink r:id="rId11" w:history="1">
              <w:r w:rsidRPr="00097B7F">
                <w:rPr>
                  <w:rFonts w:ascii="Tahoma" w:eastAsia="Times New Roman" w:hAnsi="Tahoma" w:cs="Tahoma"/>
                  <w:color w:val="4D6D91"/>
                  <w:sz w:val="19"/>
                  <w:u w:val="single"/>
                  <w:lang w:eastAsia="ru-RU"/>
                </w:rPr>
                <w:t>Памятка Комитета по регулированию контрактной системы Волгоградской области</w:t>
              </w:r>
            </w:hyperlink>
          </w:p>
        </w:tc>
      </w:tr>
    </w:tbl>
    <w:p w:rsidR="00097B7F" w:rsidRPr="00141C2E" w:rsidRDefault="00097B7F" w:rsidP="00141C2E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В случае</w:t>
      </w:r>
      <w:proofErr w:type="gramStart"/>
      <w:r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,</w:t>
      </w:r>
      <w:proofErr w:type="gramEnd"/>
      <w:r w:rsidRPr="00141C2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 если вы разместили отчет с ошибками - лучше исправить их самостоятельно. Есть техническая возможность внести изменения в отчет в личном кабинете заказчика в ЕИС. </w:t>
      </w:r>
    </w:p>
    <w:p w:rsidR="00097B7F" w:rsidRPr="00097B7F" w:rsidRDefault="00097B7F" w:rsidP="00097B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 </w:t>
      </w:r>
    </w:p>
    <w:p w:rsidR="00C8209F" w:rsidRDefault="00C8209F" w:rsidP="00097B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141C2E" w:rsidRDefault="00141C2E" w:rsidP="00097B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F26585" w:rsidRDefault="00F26585" w:rsidP="00097B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097B7F" w:rsidRPr="00097B7F" w:rsidRDefault="00097B7F" w:rsidP="00097B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097B7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>Пример заполненного раздела 2 отчета</w:t>
      </w:r>
    </w:p>
    <w:p w:rsidR="00097B7F" w:rsidRPr="00097B7F" w:rsidRDefault="00097B7F" w:rsidP="00097B7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6715125" cy="7096125"/>
            <wp:effectExtent l="19050" t="0" r="9525" b="0"/>
            <wp:docPr id="1" name="Рисунок 0" descr="s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7A2" w:rsidRPr="00097B7F" w:rsidRDefault="007E07A2" w:rsidP="007E07A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proofErr w:type="spellStart"/>
      <w:r w:rsidRPr="00097B7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Скриншоты</w:t>
      </w:r>
      <w:proofErr w:type="spellEnd"/>
      <w:r w:rsidRPr="00097B7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размещения отчета в ЕИС</w:t>
      </w:r>
    </w:p>
    <w:p w:rsidR="00A2568F" w:rsidRPr="00097B7F" w:rsidRDefault="00A2568F" w:rsidP="00A2568F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Возможно, кому-то пригодятся и </w:t>
      </w:r>
      <w:proofErr w:type="spellStart"/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скриншоты</w:t>
      </w:r>
      <w:proofErr w:type="spellEnd"/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. </w:t>
      </w: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208280</wp:posOffset>
            </wp:positionV>
            <wp:extent cx="6859905" cy="3192780"/>
            <wp:effectExtent l="19050" t="0" r="0" b="0"/>
            <wp:wrapTight wrapText="bothSides">
              <wp:wrapPolygon edited="0">
                <wp:start x="-60" y="0"/>
                <wp:lineTo x="-60" y="21523"/>
                <wp:lineTo x="21594" y="21523"/>
                <wp:lineTo x="21594" y="0"/>
                <wp:lineTo x="-60" y="0"/>
              </wp:wrapPolygon>
            </wp:wrapTight>
            <wp:docPr id="3" name="Рисунок 2" descr="otchet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_1.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Скриншот</w:t>
      </w:r>
      <w:proofErr w:type="spellEnd"/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1, 2. Выбор формы отчета в ЕИС.</w:t>
      </w:r>
    </w:p>
    <w:p w:rsidR="00A2568F" w:rsidRPr="00097B7F" w:rsidRDefault="00A2568F" w:rsidP="00A2568F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-50165</wp:posOffset>
            </wp:positionV>
            <wp:extent cx="6648450" cy="3185160"/>
            <wp:effectExtent l="19050" t="0" r="0" b="0"/>
            <wp:wrapTight wrapText="bothSides">
              <wp:wrapPolygon edited="0">
                <wp:start x="-62" y="0"/>
                <wp:lineTo x="-62" y="21445"/>
                <wp:lineTo x="21600" y="21445"/>
                <wp:lineTo x="21600" y="0"/>
                <wp:lineTo x="-62" y="0"/>
              </wp:wrapPolygon>
            </wp:wrapTight>
            <wp:docPr id="2" name="Рисунок 1" descr="otch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B7F" w:rsidRPr="00097B7F" w:rsidRDefault="00097B7F" w:rsidP="00097B7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A2568F" w:rsidRDefault="00A2568F" w:rsidP="00A2568F">
      <w:pPr>
        <w:shd w:val="clear" w:color="auto" w:fill="FFFFFF"/>
        <w:spacing w:after="0" w:line="240" w:lineRule="auto"/>
        <w:ind w:left="284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294005</wp:posOffset>
            </wp:positionV>
            <wp:extent cx="6829425" cy="3390900"/>
            <wp:effectExtent l="19050" t="0" r="9525" b="0"/>
            <wp:wrapSquare wrapText="bothSides"/>
            <wp:docPr id="8" name="Рисунок 3" descr="otch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Скриншот</w:t>
      </w:r>
      <w:proofErr w:type="spellEnd"/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3. Правильный выбор года - отчет за 2017 год. Также необходимо обеспечить скачивание отдельного файла отчета.</w:t>
      </w:r>
    </w:p>
    <w:p w:rsidR="00097B7F" w:rsidRDefault="00C8209F" w:rsidP="00A2568F">
      <w:pPr>
        <w:shd w:val="clear" w:color="auto" w:fill="FFFFFF"/>
        <w:spacing w:after="0" w:line="240" w:lineRule="auto"/>
        <w:ind w:left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368300</wp:posOffset>
            </wp:positionV>
            <wp:extent cx="7113270" cy="3947160"/>
            <wp:effectExtent l="19050" t="0" r="0" b="0"/>
            <wp:wrapSquare wrapText="bothSides"/>
            <wp:docPr id="9" name="Рисунок 8" descr="otch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97B7F"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Скриншот</w:t>
      </w:r>
      <w:proofErr w:type="spellEnd"/>
      <w:r w:rsidR="00097B7F"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4, 5. Заполните экранную форму и нажмите "Проверить"</w:t>
      </w:r>
    </w:p>
    <w:p w:rsidR="00A2568F" w:rsidRPr="00097B7F" w:rsidRDefault="00C8209F" w:rsidP="00A2568F">
      <w:pPr>
        <w:shd w:val="clear" w:color="auto" w:fill="FFFFFF"/>
        <w:spacing w:after="0" w:line="240" w:lineRule="auto"/>
        <w:ind w:left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4444365</wp:posOffset>
            </wp:positionV>
            <wp:extent cx="6877050" cy="3611880"/>
            <wp:effectExtent l="19050" t="0" r="0" b="0"/>
            <wp:wrapSquare wrapText="bothSides"/>
            <wp:docPr id="10" name="Рисунок 9" descr="otch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B7F" w:rsidRPr="00097B7F" w:rsidRDefault="00093E27" w:rsidP="00A2568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093E2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pict>
          <v:shape id="_x0000_i1027" type="#_x0000_t75" alt="" style="width:24pt;height:24pt"/>
        </w:pict>
      </w:r>
    </w:p>
    <w:p w:rsidR="00097B7F" w:rsidRPr="00097B7F" w:rsidRDefault="00093E27" w:rsidP="00097B7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093E2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pict>
          <v:shape id="_x0000_i1028" type="#_x0000_t75" alt="" style="width:24pt;height:24pt"/>
        </w:pict>
      </w:r>
    </w:p>
    <w:p w:rsidR="00C8209F" w:rsidRDefault="00C8209F" w:rsidP="00A2568F">
      <w:pPr>
        <w:shd w:val="clear" w:color="auto" w:fill="FFFFFF"/>
        <w:spacing w:before="100" w:beforeAutospacing="1" w:after="100" w:afterAutospacing="1" w:line="240" w:lineRule="auto"/>
        <w:ind w:left="567" w:hanging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C8209F" w:rsidRDefault="00C8209F" w:rsidP="00A2568F">
      <w:pPr>
        <w:shd w:val="clear" w:color="auto" w:fill="FFFFFF"/>
        <w:spacing w:before="100" w:beforeAutospacing="1" w:after="100" w:afterAutospacing="1" w:line="240" w:lineRule="auto"/>
        <w:ind w:left="567" w:hanging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C8209F" w:rsidRDefault="00C8209F" w:rsidP="00A2568F">
      <w:pPr>
        <w:shd w:val="clear" w:color="auto" w:fill="FFFFFF"/>
        <w:spacing w:before="100" w:beforeAutospacing="1" w:after="100" w:afterAutospacing="1" w:line="240" w:lineRule="auto"/>
        <w:ind w:left="567" w:hanging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C8209F" w:rsidRDefault="00C8209F" w:rsidP="00A2568F">
      <w:pPr>
        <w:shd w:val="clear" w:color="auto" w:fill="FFFFFF"/>
        <w:spacing w:before="100" w:beforeAutospacing="1" w:after="100" w:afterAutospacing="1" w:line="240" w:lineRule="auto"/>
        <w:ind w:left="567" w:hanging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097B7F" w:rsidRPr="00097B7F" w:rsidRDefault="00097B7F" w:rsidP="00C8209F">
      <w:pPr>
        <w:shd w:val="clear" w:color="auto" w:fill="FFFFFF"/>
        <w:spacing w:after="0" w:line="240" w:lineRule="auto"/>
        <w:ind w:left="567" w:hanging="567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proofErr w:type="spellStart"/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lastRenderedPageBreak/>
        <w:t>Скриншот</w:t>
      </w:r>
      <w:proofErr w:type="spellEnd"/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6. В разделе 3 выполните поиск контрактов нужной категории (наверняка, это будут коммунальные услуги)</w:t>
      </w:r>
    </w:p>
    <w:p w:rsidR="00097B7F" w:rsidRDefault="00C8209F" w:rsidP="00C820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146685</wp:posOffset>
            </wp:positionV>
            <wp:extent cx="6747510" cy="3604260"/>
            <wp:effectExtent l="19050" t="0" r="0" b="0"/>
            <wp:wrapSquare wrapText="bothSides"/>
            <wp:docPr id="11" name="Рисунок 10" descr="otchet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6.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09F" w:rsidRPr="00097B7F" w:rsidRDefault="00C8209F" w:rsidP="00C820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097B7F" w:rsidRPr="00097B7F" w:rsidRDefault="00097B7F" w:rsidP="00C8209F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proofErr w:type="spellStart"/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Скриншот</w:t>
      </w:r>
      <w:proofErr w:type="spellEnd"/>
      <w:r w:rsidRPr="00097B7F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7. Нажмите "Разместить"</w:t>
      </w:r>
    </w:p>
    <w:p w:rsidR="002D5ECA" w:rsidRPr="00097B7F" w:rsidRDefault="002D5ECA" w:rsidP="00753E75">
      <w:pPr>
        <w:shd w:val="clear" w:color="auto" w:fill="FFFFFF"/>
        <w:spacing w:before="100" w:beforeAutospacing="1" w:after="100" w:afterAutospacing="1" w:line="240" w:lineRule="auto"/>
        <w:ind w:left="993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Далее, буквально одной строкой - подборка "</w:t>
      </w:r>
      <w:proofErr w:type="spellStart"/>
      <w:proofErr w:type="gramStart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вопрос-ответов</w:t>
      </w:r>
      <w:proofErr w:type="spellEnd"/>
      <w:proofErr w:type="gramEnd"/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" в режиме да/нет.</w:t>
      </w:r>
      <w:r w:rsidR="00C8209F"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8255</wp:posOffset>
            </wp:positionV>
            <wp:extent cx="7029450" cy="3855720"/>
            <wp:effectExtent l="19050" t="0" r="0" b="0"/>
            <wp:wrapTight wrapText="bothSides">
              <wp:wrapPolygon edited="0">
                <wp:start x="-59" y="0"/>
                <wp:lineTo x="-59" y="21451"/>
                <wp:lineTo x="21600" y="21451"/>
                <wp:lineTo x="21600" y="0"/>
                <wp:lineTo x="-59" y="0"/>
              </wp:wrapPolygon>
            </wp:wrapTight>
            <wp:docPr id="12" name="Рисунок 11" descr="otche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E27" w:rsidRPr="00093E27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pict>
          <v:shape id="_x0000_i1029" type="#_x0000_t75" alt="" style="width:24pt;height:24pt"/>
        </w:pict>
      </w:r>
    </w:p>
    <w:tbl>
      <w:tblPr>
        <w:tblW w:w="9600" w:type="dxa"/>
        <w:tblCellSpacing w:w="6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8919"/>
        <w:gridCol w:w="681"/>
      </w:tblGrid>
      <w:tr w:rsidR="002D5ECA" w:rsidTr="00753E75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Style w:val="a5"/>
                <w:rFonts w:ascii="Tahoma" w:hAnsi="Tahoma" w:cs="Tahoma"/>
                <w:color w:val="000000"/>
                <w:sz w:val="17"/>
                <w:szCs w:val="17"/>
              </w:rPr>
              <w:t>Вопрос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Style w:val="a5"/>
                <w:rFonts w:ascii="Tahoma" w:hAnsi="Tahoma" w:cs="Tahoma"/>
                <w:color w:val="000000"/>
                <w:sz w:val="17"/>
                <w:szCs w:val="17"/>
              </w:rPr>
              <w:t>Ответ</w:t>
            </w:r>
          </w:p>
        </w:tc>
      </w:tr>
      <w:tr w:rsidR="002D5ECA" w:rsidTr="00753E75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Все закупки проводятся у единственного поставщика, надо ли размещать отчет?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Да</w:t>
            </w:r>
          </w:p>
        </w:tc>
      </w:tr>
      <w:tr w:rsidR="002D5ECA" w:rsidTr="00753E75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При закупках у СМП и СОНКО одновременно устанавливается и преимущество, и ограничение участия?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Да</w:t>
            </w:r>
          </w:p>
        </w:tc>
      </w:tr>
      <w:tr w:rsidR="002D5ECA" w:rsidTr="00753E75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lastRenderedPageBreak/>
              <w:t>Нужно ли оформлять отчет в виде отдельного файла?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Да</w:t>
            </w:r>
          </w:p>
        </w:tc>
      </w:tr>
      <w:tr w:rsidR="002D5ECA" w:rsidTr="00753E75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 w:rsidP="008552E1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Всегда ли ответ</w:t>
            </w:r>
            <w:r w:rsidR="008552E1">
              <w:rPr>
                <w:rFonts w:ascii="Tahoma" w:hAnsi="Tahoma" w:cs="Tahoma"/>
                <w:color w:val="000000"/>
                <w:sz w:val="17"/>
                <w:szCs w:val="17"/>
              </w:rPr>
              <w:t>ст</w:t>
            </w:r>
            <w:r>
              <w:rPr>
                <w:rFonts w:ascii="Tahoma" w:hAnsi="Tahoma" w:cs="Tahoma"/>
                <w:color w:val="000000"/>
                <w:sz w:val="17"/>
                <w:szCs w:val="17"/>
              </w:rPr>
              <w:t>венность за размещение отчета и данные отчета несет контрактный управляющий?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Нет</w:t>
            </w:r>
          </w:p>
        </w:tc>
      </w:tr>
      <w:tr w:rsidR="002D5ECA" w:rsidTr="00753E75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Контракты, заключенные с СМП, СОНО по несостоявшимся процедурам (по п.25 ч.1 ст.93 закона 44-ФЗ) входят в объем закупок у СМП?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Нет</w:t>
            </w:r>
          </w:p>
        </w:tc>
      </w:tr>
      <w:tr w:rsidR="002D5ECA" w:rsidTr="00753E75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СМП обязательно должен быть включен в Реестр СМСП, чтобы такая закупка учитывалась как закупка у СМП?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50/50</w:t>
            </w:r>
          </w:p>
        </w:tc>
      </w:tr>
      <w:tr w:rsidR="002D5ECA" w:rsidTr="00753E75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8552E1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По контракту, заключенно</w:t>
            </w:r>
            <w:r w:rsidR="002D5ECA">
              <w:rPr>
                <w:rFonts w:ascii="Tahoma" w:hAnsi="Tahoma" w:cs="Tahoma"/>
                <w:color w:val="000000"/>
                <w:sz w:val="17"/>
                <w:szCs w:val="17"/>
              </w:rPr>
              <w:t>му в 2017 году, оплата будет в 2018. Включать ее в СГОЗ для расчета норматива по СМП?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Нет</w:t>
            </w:r>
          </w:p>
        </w:tc>
      </w:tr>
      <w:tr w:rsidR="002D5ECA" w:rsidTr="00753E75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Можно ли внести изменения в размещенный отчет?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5ECA" w:rsidRDefault="002D5ECA">
            <w:pPr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Да</w:t>
            </w:r>
          </w:p>
        </w:tc>
      </w:tr>
    </w:tbl>
    <w:p w:rsidR="00097B7F" w:rsidRPr="00097B7F" w:rsidRDefault="00097B7F" w:rsidP="00097B7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C87ADF" w:rsidRDefault="00C87ADF"/>
    <w:sectPr w:rsidR="00C87ADF" w:rsidSect="00097B7F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D7F0B"/>
    <w:multiLevelType w:val="multilevel"/>
    <w:tmpl w:val="EDE8A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89422F"/>
    <w:multiLevelType w:val="multilevel"/>
    <w:tmpl w:val="97F4D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8F60AE"/>
    <w:multiLevelType w:val="hybridMultilevel"/>
    <w:tmpl w:val="6CAC8B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996339"/>
    <w:multiLevelType w:val="hybridMultilevel"/>
    <w:tmpl w:val="865045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B7F"/>
    <w:rsid w:val="00093E27"/>
    <w:rsid w:val="00097B7F"/>
    <w:rsid w:val="000A0284"/>
    <w:rsid w:val="00141C2E"/>
    <w:rsid w:val="002D5ECA"/>
    <w:rsid w:val="00706607"/>
    <w:rsid w:val="00753E75"/>
    <w:rsid w:val="007E07A2"/>
    <w:rsid w:val="008552E1"/>
    <w:rsid w:val="00A2568F"/>
    <w:rsid w:val="00C8209F"/>
    <w:rsid w:val="00C87ADF"/>
    <w:rsid w:val="00F26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7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7B7F"/>
  </w:style>
  <w:style w:type="character" w:styleId="a4">
    <w:name w:val="Hyperlink"/>
    <w:basedOn w:val="a0"/>
    <w:uiPriority w:val="99"/>
    <w:semiHidden/>
    <w:unhideWhenUsed/>
    <w:rsid w:val="00097B7F"/>
    <w:rPr>
      <w:color w:val="0000FF"/>
      <w:u w:val="single"/>
    </w:rPr>
  </w:style>
  <w:style w:type="character" w:styleId="a5">
    <w:name w:val="Strong"/>
    <w:basedOn w:val="a0"/>
    <w:uiPriority w:val="22"/>
    <w:qFormat/>
    <w:rsid w:val="00097B7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9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B7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41C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4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44-online.ru/Nakt/og-d28-1806.rtf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44-online.ru/Nakt/minehkonomrazvitija_smp.rtf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44-online.ru/Nakt/pp_rf_ot_17.03.2015_n_238.pdf" TargetMode="External"/><Relationship Id="rId11" Type="http://schemas.openxmlformats.org/officeDocument/2006/relationships/hyperlink" Target="https://www.44-online.ru/Nakt/smp_pamjatka_volgograd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44-online.ru/graffiti2018/d28i-1556.rtf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44-online.ru/Nakt/minfin_otchet_po_smp.rtf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849B8F-DB55-4A8D-B35C-06C31EF98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Тольятти</Company>
  <LinksUpToDate>false</LinksUpToDate>
  <CharactersWithSpaces>7841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 Максим Евгеньевич</dc:creator>
  <cp:keywords/>
  <dc:description/>
  <cp:lastModifiedBy>Романов Максим Евгеньевич</cp:lastModifiedBy>
  <cp:revision>9</cp:revision>
  <dcterms:created xsi:type="dcterms:W3CDTF">2018-03-21T05:02:00Z</dcterms:created>
  <dcterms:modified xsi:type="dcterms:W3CDTF">2018-03-21T06:30:00Z</dcterms:modified>
</cp:coreProperties>
</file>